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14" w:rsidRDefault="00AB4514" w:rsidP="00AB4514">
      <w:pPr>
        <w:pStyle w:val="2"/>
        <w:spacing w:line="360" w:lineRule="auto"/>
        <w:ind w:rightChars="-4" w:right="-8"/>
        <w:rPr>
          <w:rFonts w:asciiTheme="minorEastAsia" w:eastAsiaTheme="minorEastAsia" w:hAnsiTheme="minorEastAsia"/>
          <w:sz w:val="22"/>
        </w:rPr>
      </w:pPr>
      <w:bookmarkStart w:id="0" w:name="_Toc10695"/>
      <w:bookmarkStart w:id="1" w:name="_Toc23844"/>
      <w:bookmarkStart w:id="2" w:name="_Toc29140"/>
      <w:bookmarkStart w:id="3" w:name="_Toc23154"/>
      <w:bookmarkStart w:id="4" w:name="_Toc1747"/>
      <w:bookmarkStart w:id="5" w:name="_Toc382324232"/>
      <w:bookmarkStart w:id="6" w:name="_Toc7324"/>
      <w:bookmarkStart w:id="7" w:name="_Toc12373"/>
      <w:bookmarkStart w:id="8" w:name="_Toc21288"/>
      <w:bookmarkStart w:id="9" w:name="_Toc27508"/>
      <w:bookmarkStart w:id="10" w:name="_Toc24348"/>
      <w:bookmarkStart w:id="11" w:name="_Toc19890"/>
      <w:bookmarkStart w:id="12" w:name="_Toc10779"/>
      <w:bookmarkStart w:id="13" w:name="_Toc27618"/>
      <w:bookmarkStart w:id="14" w:name="_Toc26166"/>
      <w:bookmarkStart w:id="15" w:name="_Toc10897"/>
      <w:bookmarkStart w:id="16" w:name="_Toc19400"/>
      <w:bookmarkStart w:id="17" w:name="_Toc31277"/>
      <w:bookmarkStart w:id="18" w:name="_Toc9950"/>
      <w:bookmarkStart w:id="19" w:name="_Toc16752"/>
      <w:bookmarkStart w:id="20" w:name="_Toc28416"/>
      <w:r>
        <w:rPr>
          <w:rStyle w:val="2Char"/>
          <w:rFonts w:asciiTheme="minorEastAsia" w:eastAsiaTheme="minorEastAsia" w:hAnsiTheme="minorEastAsia" w:hint="eastAsia"/>
          <w:bCs/>
          <w:sz w:val="30"/>
          <w:szCs w:val="30"/>
        </w:rPr>
        <w:t>附表</w:t>
      </w:r>
      <w:r>
        <w:rPr>
          <w:rStyle w:val="2Char"/>
          <w:rFonts w:asciiTheme="minorEastAsia" w:eastAsiaTheme="minorEastAsia" w:hAnsiTheme="minorEastAsia"/>
          <w:bCs/>
          <w:sz w:val="30"/>
          <w:szCs w:val="30"/>
        </w:rPr>
        <w:t>1</w:t>
      </w:r>
      <w:r>
        <w:rPr>
          <w:rStyle w:val="2Char"/>
          <w:rFonts w:asciiTheme="minorEastAsia" w:eastAsiaTheme="minorEastAsia" w:hAnsiTheme="minorEastAsia" w:hint="eastAsia"/>
          <w:bCs/>
          <w:sz w:val="30"/>
          <w:szCs w:val="30"/>
        </w:rPr>
        <w:t xml:space="preserve">  全国计算机等级考试考生成绩复查申请表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AB4514" w:rsidRDefault="00AB4514" w:rsidP="00AB4514">
      <w:pPr>
        <w:spacing w:line="360" w:lineRule="auto"/>
        <w:ind w:rightChars="-4" w:right="-8" w:firstLineChars="50" w:firstLine="10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省级承办机构名称：</w:t>
      </w:r>
      <w:r w:rsidR="00556DFF">
        <w:rPr>
          <w:rFonts w:asciiTheme="minorEastAsia" w:eastAsiaTheme="minorEastAsia" w:hAnsiTheme="minorEastAsia" w:hint="eastAsia"/>
        </w:rPr>
        <w:t xml:space="preserve"> </w:t>
      </w:r>
      <w:r w:rsidR="00556DFF">
        <w:rPr>
          <w:rFonts w:asciiTheme="minorEastAsia" w:eastAsiaTheme="minorEastAsia" w:hAnsiTheme="minorEastAsia"/>
        </w:rPr>
        <w:t xml:space="preserve">                                     </w:t>
      </w:r>
      <w:r>
        <w:rPr>
          <w:rFonts w:asciiTheme="minorEastAsia" w:eastAsiaTheme="minorEastAsia" w:hAnsiTheme="minorEastAsia"/>
        </w:rPr>
        <w:t xml:space="preserve">     </w:t>
      </w:r>
      <w:r>
        <w:rPr>
          <w:rFonts w:asciiTheme="minorEastAsia" w:eastAsiaTheme="minorEastAsia" w:hAnsiTheme="minorEastAsia" w:hint="eastAsia"/>
        </w:rPr>
        <w:t xml:space="preserve">    （公章）</w:t>
      </w:r>
    </w:p>
    <w:tbl>
      <w:tblPr>
        <w:tblW w:w="8007" w:type="dxa"/>
        <w:jc w:val="center"/>
        <w:tblLayout w:type="fixed"/>
        <w:tblLook w:val="04A0" w:firstRow="1" w:lastRow="0" w:firstColumn="1" w:lastColumn="0" w:noHBand="0" w:noVBand="1"/>
      </w:tblPr>
      <w:tblGrid>
        <w:gridCol w:w="647"/>
        <w:gridCol w:w="1331"/>
        <w:gridCol w:w="1843"/>
        <w:gridCol w:w="1558"/>
        <w:gridCol w:w="866"/>
        <w:gridCol w:w="1762"/>
      </w:tblGrid>
      <w:tr w:rsidR="00AB4514" w:rsidTr="00161900">
        <w:trPr>
          <w:trHeight w:val="45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考生姓名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身份证号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准考证号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成绩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考点名称</w:t>
            </w:r>
          </w:p>
        </w:tc>
      </w:tr>
      <w:tr w:rsidR="00AB4514" w:rsidTr="00161900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Pr="00161900" w:rsidRDefault="00AB4514" w:rsidP="00161900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B4514" w:rsidTr="00161900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B4514" w:rsidTr="00161900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bookmarkStart w:id="21" w:name="_GoBack"/>
            <w:bookmarkEnd w:id="21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B4514" w:rsidTr="00161900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B4514" w:rsidTr="00161900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B4514" w:rsidTr="00161900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B4514" w:rsidTr="00161900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B4514" w:rsidTr="00161900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B4514" w:rsidTr="00161900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B4514" w:rsidTr="00161900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B4514" w:rsidTr="00161900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B4514" w:rsidTr="00161900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B4514" w:rsidTr="00161900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B4514" w:rsidTr="00161900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B4514" w:rsidTr="00161900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B4514" w:rsidTr="00161900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B4514" w:rsidTr="00161900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B4514" w:rsidTr="00161900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B4514" w:rsidTr="00161900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B4514" w:rsidTr="00161900">
        <w:trPr>
          <w:trHeight w:val="45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14" w:rsidRDefault="00AB4514" w:rsidP="00161900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AB4514" w:rsidRDefault="00AB4514" w:rsidP="00AB4514">
      <w:pPr>
        <w:spacing w:line="360" w:lineRule="auto"/>
        <w:ind w:leftChars="2800" w:left="5880" w:rightChars="-4" w:right="-8" w:firstLineChars="250" w:firstLine="450"/>
        <w:rPr>
          <w:rFonts w:asciiTheme="minorEastAsia" w:eastAsiaTheme="minorEastAsia" w:hAnsiTheme="minorEastAsia" w:cs="宋体"/>
          <w:color w:val="000000"/>
          <w:kern w:val="0"/>
          <w:sz w:val="18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18"/>
          <w:szCs w:val="21"/>
        </w:rPr>
        <w:t>制表：教育部教育考试院</w:t>
      </w:r>
    </w:p>
    <w:p w:rsidR="00AB4514" w:rsidRDefault="00AB4514" w:rsidP="00AB4514">
      <w:pPr>
        <w:ind w:rightChars="-3" w:right="-6" w:firstLineChars="50" w:firstLine="10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注：1.省级承办机构应在教育考试院下发成绩后20个工作日内上报本表，盖章有效；</w:t>
      </w:r>
    </w:p>
    <w:p w:rsidR="00AB4514" w:rsidRDefault="00AB4514" w:rsidP="00AB4514">
      <w:pPr>
        <w:ind w:rightChars="-3" w:right="-6" w:firstLineChars="250" w:firstLine="52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2.省级承办机构应通过考务管理平台同时上报考生文件夹。</w:t>
      </w:r>
    </w:p>
    <w:p w:rsidR="007563B0" w:rsidRPr="00AB4514" w:rsidRDefault="007563B0"/>
    <w:sectPr w:rsidR="007563B0" w:rsidRPr="00AB4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C2A" w:rsidRDefault="00227C2A" w:rsidP="00AB4514">
      <w:r>
        <w:separator/>
      </w:r>
    </w:p>
  </w:endnote>
  <w:endnote w:type="continuationSeparator" w:id="0">
    <w:p w:rsidR="00227C2A" w:rsidRDefault="00227C2A" w:rsidP="00AB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C2A" w:rsidRDefault="00227C2A" w:rsidP="00AB4514">
      <w:r>
        <w:separator/>
      </w:r>
    </w:p>
  </w:footnote>
  <w:footnote w:type="continuationSeparator" w:id="0">
    <w:p w:rsidR="00227C2A" w:rsidRDefault="00227C2A" w:rsidP="00AB4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4646"/>
    <w:rsid w:val="00227C2A"/>
    <w:rsid w:val="00404646"/>
    <w:rsid w:val="00556DFF"/>
    <w:rsid w:val="007563B0"/>
    <w:rsid w:val="00A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7DD117-F206-4CA6-BC0D-C56FDC37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5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AB4514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45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4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4514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AB4514"/>
    <w:rPr>
      <w:rFonts w:ascii="Arial" w:eastAsia="黑体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2024-11-07T06:28:00Z</dcterms:created>
  <dcterms:modified xsi:type="dcterms:W3CDTF">2024-11-07T06:29:00Z</dcterms:modified>
</cp:coreProperties>
</file>